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B3" w:rsidRDefault="00F05AB3" w:rsidP="00F05AB3">
      <w:pPr>
        <w:widowControl/>
        <w:shd w:val="clear" w:color="auto" w:fill="FFFFFF"/>
        <w:spacing w:line="525" w:lineRule="atLeast"/>
        <w:jc w:val="center"/>
        <w:rPr>
          <w:rFonts w:ascii="微软雅黑" w:eastAsia="微软雅黑" w:hAnsi="微软雅黑" w:cs="宋体" w:hint="eastAsia"/>
          <w:b/>
          <w:bCs/>
          <w:color w:val="0C5CB1"/>
          <w:kern w:val="0"/>
          <w:sz w:val="30"/>
          <w:szCs w:val="30"/>
        </w:rPr>
      </w:pPr>
      <w:r w:rsidRPr="00F05AB3">
        <w:rPr>
          <w:rFonts w:ascii="微软雅黑" w:eastAsia="微软雅黑" w:hAnsi="微软雅黑" w:cs="宋体" w:hint="eastAsia"/>
          <w:b/>
          <w:bCs/>
          <w:color w:val="0C5CB1"/>
          <w:kern w:val="0"/>
          <w:sz w:val="30"/>
          <w:szCs w:val="30"/>
        </w:rPr>
        <w:t>国务院办公厅关于进一步加强资本市场中小投资者</w:t>
      </w:r>
    </w:p>
    <w:p w:rsidR="00F05AB3" w:rsidRPr="00F05AB3" w:rsidRDefault="00F05AB3" w:rsidP="00F05AB3">
      <w:pPr>
        <w:widowControl/>
        <w:shd w:val="clear" w:color="auto" w:fill="FFFFFF"/>
        <w:spacing w:line="525" w:lineRule="atLeast"/>
        <w:jc w:val="center"/>
        <w:rPr>
          <w:rFonts w:ascii="微软雅黑" w:eastAsia="微软雅黑" w:hAnsi="微软雅黑" w:cs="宋体"/>
          <w:b/>
          <w:bCs/>
          <w:color w:val="0C5CB1"/>
          <w:kern w:val="0"/>
          <w:sz w:val="30"/>
          <w:szCs w:val="30"/>
        </w:rPr>
      </w:pPr>
      <w:bookmarkStart w:id="0" w:name="_GoBack"/>
      <w:bookmarkEnd w:id="0"/>
      <w:r w:rsidRPr="00F05AB3">
        <w:rPr>
          <w:rFonts w:ascii="微软雅黑" w:eastAsia="微软雅黑" w:hAnsi="微软雅黑" w:cs="宋体" w:hint="eastAsia"/>
          <w:b/>
          <w:bCs/>
          <w:color w:val="0C5CB1"/>
          <w:kern w:val="0"/>
          <w:sz w:val="30"/>
          <w:szCs w:val="30"/>
        </w:rPr>
        <w:t>合法权益保护工作的意见</w:t>
      </w:r>
    </w:p>
    <w:p w:rsidR="00F05AB3" w:rsidRDefault="00F05AB3" w:rsidP="00F05AB3">
      <w:pPr>
        <w:widowControl/>
        <w:shd w:val="clear" w:color="auto" w:fill="FFFFFF"/>
        <w:ind w:firstLine="359"/>
        <w:jc w:val="center"/>
        <w:rPr>
          <w:rFonts w:ascii="inherit" w:eastAsia="宋体" w:hAnsi="inherit" w:cs="宋体" w:hint="eastAsia"/>
          <w:color w:val="888888"/>
          <w:kern w:val="0"/>
          <w:sz w:val="18"/>
          <w:szCs w:val="18"/>
        </w:rPr>
      </w:pPr>
    </w:p>
    <w:p w:rsidR="00F05AB3" w:rsidRPr="00F05AB3" w:rsidRDefault="00F05AB3" w:rsidP="00F05AB3">
      <w:pPr>
        <w:widowControl/>
        <w:shd w:val="clear" w:color="auto" w:fill="FFFFFF"/>
        <w:ind w:firstLine="359"/>
        <w:jc w:val="center"/>
        <w:rPr>
          <w:rFonts w:ascii="宋体" w:eastAsia="宋体" w:hAnsi="宋体" w:cs="宋体"/>
          <w:color w:val="333333"/>
          <w:kern w:val="0"/>
          <w:szCs w:val="21"/>
        </w:rPr>
      </w:pPr>
      <w:r w:rsidRPr="00F05AB3">
        <w:rPr>
          <w:rFonts w:ascii="宋体" w:eastAsia="宋体" w:hAnsi="宋体" w:cs="宋体" w:hint="eastAsia"/>
          <w:color w:val="333333"/>
          <w:kern w:val="0"/>
          <w:szCs w:val="21"/>
        </w:rPr>
        <w:t xml:space="preserve"> (2013年12月27日 国办发〔2013〕110号 )</w:t>
      </w:r>
    </w:p>
    <w:p w:rsidR="00F05AB3" w:rsidRPr="00F05AB3" w:rsidRDefault="00F05AB3" w:rsidP="00F05AB3">
      <w:pPr>
        <w:widowControl/>
        <w:shd w:val="clear" w:color="auto" w:fill="FFFFFF"/>
        <w:ind w:firstLine="359"/>
        <w:jc w:val="center"/>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各省、自治区、直辖市人民政府，国务院各部委、各直属机构：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中小投资者是我国现阶段资本市场的主要参与群体，但处于信息弱势地位，抗风险能力和自我保护能力较弱，合法权益容易受到侵害。维护中小投资者合法权益是证券期货监管工作的重中之重，关系广大人民群众切身利益，是资本市场持续健康发展的基础。近年来，我国中小投资者保护工作取得了积极成效，但与维护市场“公开、公平、公正”和保护广大投资者合法权益的要求相比还有较大差距。为贯彻落实党的十八大、十八届三中全会精神和国务院有关要求，进一步加强资本市场中小投资者合法权益保护工作，经国务院同意，现提出如下意见。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一、健全投资者适当性制度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制定完善中小投资者分类标准。根据我国资本市场实际情况，制定并公开中小投资者分类标准及依据，并进行动态评估和调整。进一步规范不同层次市场及交易品种的投资者适当性制度安排，明确适合投资者参与的范围和方式。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科学划分风险等级。证券期货经营机构和中介机构应当对产品或者服务的风险进行评估并划分风险等级。推荐与投资者风险承受和识别能力相适应的产品或者服务，向投资者充分说明可能影响其权利的信息，不得误导、欺诈客户。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进一步完善规章制度和市场服务规则。证券期货经营机构和中介机构应当建立执业规范和内部问责机制，销售人员不得以个人名义接受客户委托从事交易；明确提示投资者如实提供资料信息，对收集的个人信息要严格保密、确保安全，不得出售或者非法提供给他人。严格落实投资者适当性制度并强化监管，违反适当性管理规定给中小投资者造成损失的，要依法追究责任。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二、优化投资回报机制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引导和支持上市公司增强持续回报能力。上市公司应当完善公司治理，提高盈利能力，主动积极回报投资者。公司首次公开发行股票、上市公司再融资或者并购重组摊薄即期回报的，应当承诺并兑现填补回报的具体措施。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完善利润分配制度。上市公司应当披露利润分配政策尤其是现金分红政策的具体安排和承诺。对不履行分红承诺的上市公司，要记入诚信档案，未达到整改要求的不得进行再融资。独立董事及相关中介机构应当对利润分配政策是否损害中小投资者合法权益发表明确意见。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建立多元化投资回报体系。完善股份回购制度，引导上市公司承诺在出现股价低于每股净资产等情形时回购股份。研究建立“以股代息”制度，丰富股利分配方式。对现金分红持续稳定的上市公司，在监管政策上给予扶持。制定差异化的分红引导政策。完善除权除息制度安排。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发展服务中小投资者的专业化中介机构。鼓励开发适合中小投资者的产品。鼓励中小投资者通过机构投资者参与市场。基金管理人应当切实履行分红承诺，并努力创造良好投资回报。鼓励基金管理费</w:t>
      </w:r>
      <w:proofErr w:type="gramStart"/>
      <w:r w:rsidRPr="00F05AB3">
        <w:rPr>
          <w:rFonts w:ascii="宋体" w:eastAsia="宋体" w:hAnsi="宋体" w:cs="宋体" w:hint="eastAsia"/>
          <w:color w:val="333333"/>
          <w:kern w:val="0"/>
          <w:szCs w:val="21"/>
        </w:rPr>
        <w:t>率结构</w:t>
      </w:r>
      <w:proofErr w:type="gramEnd"/>
      <w:r w:rsidRPr="00F05AB3">
        <w:rPr>
          <w:rFonts w:ascii="宋体" w:eastAsia="宋体" w:hAnsi="宋体" w:cs="宋体" w:hint="eastAsia"/>
          <w:color w:val="333333"/>
          <w:kern w:val="0"/>
          <w:szCs w:val="21"/>
        </w:rPr>
        <w:t xml:space="preserve">及水平多样化，形成基金管理人与基金份额持有人利益一致的费用模式。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lastRenderedPageBreak/>
        <w:t xml:space="preserve">三、保障中小投资者知情权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增强信息披露的针对性。有关主体应当真实、准确、完整、及时地披露对投资决策有重大影响的信息，披露内容做到简明易懂，充分揭示风险，方便中小投资者查阅。健全内部信息披露制度和流程，强化董事会秘书等相关人员职责。制定自愿性和简明化的信息披露规则。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提高市场透明度。</w:t>
      </w:r>
      <w:proofErr w:type="gramStart"/>
      <w:r w:rsidRPr="00F05AB3">
        <w:rPr>
          <w:rFonts w:ascii="宋体" w:eastAsia="宋体" w:hAnsi="宋体" w:cs="宋体" w:hint="eastAsia"/>
          <w:color w:val="333333"/>
          <w:kern w:val="0"/>
          <w:szCs w:val="21"/>
        </w:rPr>
        <w:t>对显著</w:t>
      </w:r>
      <w:proofErr w:type="gramEnd"/>
      <w:r w:rsidRPr="00F05AB3">
        <w:rPr>
          <w:rFonts w:ascii="宋体" w:eastAsia="宋体" w:hAnsi="宋体" w:cs="宋体" w:hint="eastAsia"/>
          <w:color w:val="333333"/>
          <w:kern w:val="0"/>
          <w:szCs w:val="21"/>
        </w:rPr>
        <w:t>影响证券期货交易价格的信息，交易场所和有关主体要及时履行报告、信息披露和提示风险的义务。建立统一的信息披露平台。</w:t>
      </w:r>
      <w:proofErr w:type="gramStart"/>
      <w:r w:rsidRPr="00F05AB3">
        <w:rPr>
          <w:rFonts w:ascii="宋体" w:eastAsia="宋体" w:hAnsi="宋体" w:cs="宋体" w:hint="eastAsia"/>
          <w:color w:val="333333"/>
          <w:kern w:val="0"/>
          <w:szCs w:val="21"/>
        </w:rPr>
        <w:t>健全跨</w:t>
      </w:r>
      <w:proofErr w:type="gramEnd"/>
      <w:r w:rsidRPr="00F05AB3">
        <w:rPr>
          <w:rFonts w:ascii="宋体" w:eastAsia="宋体" w:hAnsi="宋体" w:cs="宋体" w:hint="eastAsia"/>
          <w:color w:val="333333"/>
          <w:kern w:val="0"/>
          <w:szCs w:val="21"/>
        </w:rPr>
        <w:t xml:space="preserve">市场交易产品及突发事件信息披露机制。健全信息披露异常情形问责机制，加大对上市公司发生敏感事件时信息披露的动态监管力度。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切实履行信息披露职责。上市公司依法公开披露信息前，不得非法对他人提供相关信息。上市公司控股股东、实际控制人在信息披露文件中的承诺须具体可操作，特别是应当就赔偿或者补偿责任</w:t>
      </w:r>
      <w:proofErr w:type="gramStart"/>
      <w:r w:rsidRPr="00F05AB3">
        <w:rPr>
          <w:rFonts w:ascii="宋体" w:eastAsia="宋体" w:hAnsi="宋体" w:cs="宋体" w:hint="eastAsia"/>
          <w:color w:val="333333"/>
          <w:kern w:val="0"/>
          <w:szCs w:val="21"/>
        </w:rPr>
        <w:t>作出</w:t>
      </w:r>
      <w:proofErr w:type="gramEnd"/>
      <w:r w:rsidRPr="00F05AB3">
        <w:rPr>
          <w:rFonts w:ascii="宋体" w:eastAsia="宋体" w:hAnsi="宋体" w:cs="宋体" w:hint="eastAsia"/>
          <w:color w:val="333333"/>
          <w:kern w:val="0"/>
          <w:szCs w:val="21"/>
        </w:rPr>
        <w:t xml:space="preserve">明确承诺并切实履行。上市公司应当明确接受投资者问询的时间和方式，健全舆论反应机制。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四、健全中小投资者投票机制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完善中小投资者投票等机制。引导上市公司股东大会全面采用网络投票方式。积极推行累积投票制选举董事、监事。上市公司不得对征集投票权提出最低持股比例限制。完善上市公司股东大会投票表决第三方见证制度。研究完善中小投资者提出罢免公司董事提案的制度。自律组织应当健全独立董事备案和履职评价制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建立中小投资者单独计票机制。上市公司股东大会审议影响中小投资者利益的重大事项时，对中小投资者表决应当单独计票。单独计票结果应当及时公开披露，并报送证券监管部门。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保障中小投资者依法行使权利。健全利益冲突回避、杜绝同业竞争和关联交易公平处理制度。上市公司控股股东、实际控制人不得限制或者阻挠中小投资者行使合法权利，不得损害公司和中小投资者的权益。健全公开发行公司债券持有人会议制度和受托管理制度。基金管理人须为基金份额持有人行使投票权提供便利，鼓励中小投资者参加持有人大会。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五、建立多元化纠纷解决机制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完善纠纷解决机制。上市公司及证券期货经营机构等应当承担投资者投诉处理的首要责任，完善投诉处理机制并公开处理流程和办理情况。证券监管部门要健全登记备案制度，将投诉处理情况作为衡量相关主体合</w:t>
      </w:r>
      <w:proofErr w:type="gramStart"/>
      <w:r w:rsidRPr="00F05AB3">
        <w:rPr>
          <w:rFonts w:ascii="宋体" w:eastAsia="宋体" w:hAnsi="宋体" w:cs="宋体" w:hint="eastAsia"/>
          <w:color w:val="333333"/>
          <w:kern w:val="0"/>
          <w:szCs w:val="21"/>
        </w:rPr>
        <w:t>规</w:t>
      </w:r>
      <w:proofErr w:type="gramEnd"/>
      <w:r w:rsidRPr="00F05AB3">
        <w:rPr>
          <w:rFonts w:ascii="宋体" w:eastAsia="宋体" w:hAnsi="宋体" w:cs="宋体" w:hint="eastAsia"/>
          <w:color w:val="333333"/>
          <w:kern w:val="0"/>
          <w:szCs w:val="21"/>
        </w:rPr>
        <w:t xml:space="preserve">管理水平的依据。支持投资者与市场经营主体协商解决争议或者达成和解协议。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发挥第三方机构作用。支持自律组织、市场机构独立或者联合依法开展证券期货专业调解，为中小投资者提供免费服务。开展证券期货仲裁服务，培养专业仲裁力量。建立调解与仲裁、诉讼的对接机制。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加强协调配合。有关部门配合司法机关完善相关侵权行为民事诉讼制度。优化中小投资者依法维权程序，降低维权成本。健全适应资本市场中小投资者民事侵权赔偿特点的救济维权工作机制。推动完善破产清偿中保护投资者的措施。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六、健全中小投资者赔偿机制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督促违规或者涉案当事人主动赔偿投资者。对上市公司违法行为负有责任的控股股东及实际控制人，应当主动、依法将其持有的公司股权及其他资产用于赔偿中小投资者。招股说明书虚假记载、误导性陈述或者重大遗漏致使投资者遭受损失的，责任主体须依法赔偿投资者，中介机构也应当承担相应责任。基金管理人、托管人等未能履行勤勉尽责义务造成基金份额持有人财产损失的，应当依法赔偿。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建立上市公司退</w:t>
      </w:r>
      <w:proofErr w:type="gramStart"/>
      <w:r w:rsidRPr="00F05AB3">
        <w:rPr>
          <w:rFonts w:ascii="宋体" w:eastAsia="宋体" w:hAnsi="宋体" w:cs="宋体" w:hint="eastAsia"/>
          <w:color w:val="333333"/>
          <w:kern w:val="0"/>
          <w:szCs w:val="21"/>
        </w:rPr>
        <w:t>市风险</w:t>
      </w:r>
      <w:proofErr w:type="gramEnd"/>
      <w:r w:rsidRPr="00F05AB3">
        <w:rPr>
          <w:rFonts w:ascii="宋体" w:eastAsia="宋体" w:hAnsi="宋体" w:cs="宋体" w:hint="eastAsia"/>
          <w:color w:val="333333"/>
          <w:kern w:val="0"/>
          <w:szCs w:val="21"/>
        </w:rPr>
        <w:t>应对机制。因违法违规而存在退</w:t>
      </w:r>
      <w:proofErr w:type="gramStart"/>
      <w:r w:rsidRPr="00F05AB3">
        <w:rPr>
          <w:rFonts w:ascii="宋体" w:eastAsia="宋体" w:hAnsi="宋体" w:cs="宋体" w:hint="eastAsia"/>
          <w:color w:val="333333"/>
          <w:kern w:val="0"/>
          <w:szCs w:val="21"/>
        </w:rPr>
        <w:t>市风险</w:t>
      </w:r>
      <w:proofErr w:type="gramEnd"/>
      <w:r w:rsidRPr="00F05AB3">
        <w:rPr>
          <w:rFonts w:ascii="宋体" w:eastAsia="宋体" w:hAnsi="宋体" w:cs="宋体" w:hint="eastAsia"/>
          <w:color w:val="333333"/>
          <w:kern w:val="0"/>
          <w:szCs w:val="21"/>
        </w:rPr>
        <w:t>的上市公司，在定期报告中应当对退</w:t>
      </w:r>
      <w:proofErr w:type="gramStart"/>
      <w:r w:rsidRPr="00F05AB3">
        <w:rPr>
          <w:rFonts w:ascii="宋体" w:eastAsia="宋体" w:hAnsi="宋体" w:cs="宋体" w:hint="eastAsia"/>
          <w:color w:val="333333"/>
          <w:kern w:val="0"/>
          <w:szCs w:val="21"/>
        </w:rPr>
        <w:t>市风险</w:t>
      </w:r>
      <w:proofErr w:type="gramEnd"/>
      <w:r w:rsidRPr="00F05AB3">
        <w:rPr>
          <w:rFonts w:ascii="宋体" w:eastAsia="宋体" w:hAnsi="宋体" w:cs="宋体" w:hint="eastAsia"/>
          <w:color w:val="333333"/>
          <w:kern w:val="0"/>
          <w:szCs w:val="21"/>
        </w:rPr>
        <w:t>作专项评估，并提出应对预案。研究建立公开发行公司债券的偿债基金制</w:t>
      </w:r>
      <w:r w:rsidRPr="00F05AB3">
        <w:rPr>
          <w:rFonts w:ascii="宋体" w:eastAsia="宋体" w:hAnsi="宋体" w:cs="宋体" w:hint="eastAsia"/>
          <w:color w:val="333333"/>
          <w:kern w:val="0"/>
          <w:szCs w:val="21"/>
        </w:rPr>
        <w:lastRenderedPageBreak/>
        <w:t xml:space="preserve">度。上市公司退市引入保险机制，在有关责任保险中增加退市保险附加条款。健全证券中介机构职业保险制度。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完善风险救助机制。证券期货经营机构和基金管理人应当在现有政策框架下，利用计提的风险准备金完善自主救济机制，依法赔偿投资者损失。研究实行证券发行保荐质保金制度和上市公司违规风险准备金制度。探索建立证券期货领域行政和解制度，开展行政和解试点。研究扩大证券投资者保护基金和期货投资者保障基金使用范围和来源。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七、加大监管和打击力度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完善监管政策。证券监管部门应当把维护中小投资者合法权益贯穿监管工作始终，落实到各个环节。对纳入行政许可、注册或者备案管理的证券期货行为，证券监管部门应当建立起相应的投资者合法权益保护安排。建立限售股股东减</w:t>
      </w:r>
      <w:proofErr w:type="gramStart"/>
      <w:r w:rsidRPr="00F05AB3">
        <w:rPr>
          <w:rFonts w:ascii="宋体" w:eastAsia="宋体" w:hAnsi="宋体" w:cs="宋体" w:hint="eastAsia"/>
          <w:color w:val="333333"/>
          <w:kern w:val="0"/>
          <w:szCs w:val="21"/>
        </w:rPr>
        <w:t>持计划预</w:t>
      </w:r>
      <w:proofErr w:type="gramEnd"/>
      <w:r w:rsidRPr="00F05AB3">
        <w:rPr>
          <w:rFonts w:ascii="宋体" w:eastAsia="宋体" w:hAnsi="宋体" w:cs="宋体" w:hint="eastAsia"/>
          <w:color w:val="333333"/>
          <w:kern w:val="0"/>
          <w:szCs w:val="21"/>
        </w:rPr>
        <w:t xml:space="preserve">披露制度，在披露之前有关股东不得转让股票。鼓励限售股股东主动延长锁定期。建立覆盖全市场的诚信记录数据库，并实现部门之间共享。健全中小投资者查询市场经营主体诚信状况的机制。建立守信激励和失信惩戒机制。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坚决查处损害中小投资者合法权益的违法行为。严肃查处上市公司不当更正盈利预测报告、未披露导致股价异动事项、先于指定媒体发布信息、以新闻发布替代应履行公告义务、编造或传播虚假信息误导投资者，以及进行内幕交易和操纵市场等行为。坚决打击上市公司控股股东、实际控制人直接或者间接转移、侵占上市公司资产。建立证券期货违法案件举报奖励制度。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强化执法协作。各地区、各部门要统一认识，密切配合，严厉打击各类证券期货违法犯罪活动，及时纠正各</w:t>
      </w:r>
      <w:proofErr w:type="gramStart"/>
      <w:r w:rsidRPr="00F05AB3">
        <w:rPr>
          <w:rFonts w:ascii="宋体" w:eastAsia="宋体" w:hAnsi="宋体" w:cs="宋体" w:hint="eastAsia"/>
          <w:color w:val="333333"/>
          <w:kern w:val="0"/>
          <w:szCs w:val="21"/>
        </w:rPr>
        <w:t>类损害</w:t>
      </w:r>
      <w:proofErr w:type="gramEnd"/>
      <w:r w:rsidRPr="00F05AB3">
        <w:rPr>
          <w:rFonts w:ascii="宋体" w:eastAsia="宋体" w:hAnsi="宋体" w:cs="宋体" w:hint="eastAsia"/>
          <w:color w:val="333333"/>
          <w:kern w:val="0"/>
          <w:szCs w:val="21"/>
        </w:rPr>
        <w:t xml:space="preserve">中小投资者合法权益的行为。建立侵害中小投资者合法权益事件的快速反应和处置机制，制定和完善应对突发性群体事件预案，做好相关事件处理和维护稳定工作。证券监管部门、公安机关应当不断强化执法协作，完善工作机制，加大提前介入力度。有关部门要配合公安、司法机关完善证券期货犯罪行为的追诉标准及相关司法解释。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八、强化中小投资者教育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加大普及证券期货知识力度。将投资者教育逐步纳入国民教育体系，有条件的地区可以先行试点。充分发挥媒体的舆论引导和宣传教育功能。证券期货经营机构应当承担各项产品和服务的投资者教育义务，保障费用支出和人员配备，将投资者教育纳入各业务环节。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提高投资者风险防范意识。自律组织应当强化投资者教育功能，健全会员投资者教育服务自律规则。中小投资者应当树立理性投资意识，依法行使权利和履行义务，养成良好投资习惯，不听信传言，不盲目跟风，提高风险防范意识和自我保护能力。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九、完善投资者保护组织体系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 xml:space="preserve">构建综合保护体系。加快形成法律保护、监管保护、自律保护、市场保护、自我保护的综合保护体系，实现中小投资者保护工作常态化、规范化和制度化。证券监管部门、自律组织以及市场经营主体应当健全组织机构和工作制度，加大资源投入，完善基础设施，畅通与中小投资者的沟通渠道。证券监管部门建立中小投资者合法权益保障检查制度与评估评价体系，并将其作为日常监管和行政许可申请审核的重要依据。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完善组织体系。探索建立中小投资者自律组织和公益性维权组织，向中小投资者提供救济援助，丰富和解、调解、仲裁、诉讼等维</w:t>
      </w:r>
      <w:proofErr w:type="gramStart"/>
      <w:r w:rsidRPr="00F05AB3">
        <w:rPr>
          <w:rFonts w:ascii="宋体" w:eastAsia="宋体" w:hAnsi="宋体" w:cs="宋体" w:hint="eastAsia"/>
          <w:color w:val="333333"/>
          <w:kern w:val="0"/>
          <w:szCs w:val="21"/>
        </w:rPr>
        <w:t>权内容</w:t>
      </w:r>
      <w:proofErr w:type="gramEnd"/>
      <w:r w:rsidRPr="00F05AB3">
        <w:rPr>
          <w:rFonts w:ascii="宋体" w:eastAsia="宋体" w:hAnsi="宋体" w:cs="宋体" w:hint="eastAsia"/>
          <w:color w:val="333333"/>
          <w:kern w:val="0"/>
          <w:szCs w:val="21"/>
        </w:rPr>
        <w:t xml:space="preserve">和方式。充分发挥证券期货专业律师的作用，鼓励和支持律师为中小投资者提供公益性法律援助。 </w:t>
      </w:r>
    </w:p>
    <w:p w:rsidR="00F05AB3" w:rsidRPr="00F05AB3" w:rsidRDefault="00F05AB3" w:rsidP="00F05AB3">
      <w:pPr>
        <w:widowControl/>
        <w:shd w:val="clear" w:color="auto" w:fill="FFFFFF"/>
        <w:ind w:firstLine="359"/>
        <w:jc w:val="left"/>
        <w:rPr>
          <w:rFonts w:ascii="宋体" w:eastAsia="宋体" w:hAnsi="宋体" w:cs="宋体" w:hint="eastAsia"/>
          <w:color w:val="333333"/>
          <w:kern w:val="0"/>
          <w:szCs w:val="21"/>
        </w:rPr>
      </w:pPr>
      <w:r w:rsidRPr="00F05AB3">
        <w:rPr>
          <w:rFonts w:ascii="宋体" w:eastAsia="宋体" w:hAnsi="宋体" w:cs="宋体" w:hint="eastAsia"/>
          <w:color w:val="333333"/>
          <w:kern w:val="0"/>
          <w:szCs w:val="21"/>
        </w:rPr>
        <w:t>优化政策环境。证券监管部门要进一步完善政策措施，提高保护中小投资者合法权益的水平。上市公司国有大股东或者实际控制人应当依法行使权利，支持市场经营主体履行法定义务。财政、税收、证券监管部门应当完善交易和分红等相关税费制度，优化投资环境。国务院有关部门和地方人民政府要求上市公司提供未公开信息的，应当遵循法律法规相关规定。</w:t>
      </w:r>
      <w:r w:rsidRPr="00F05AB3">
        <w:rPr>
          <w:rFonts w:ascii="宋体" w:eastAsia="宋体" w:hAnsi="宋体" w:cs="宋体" w:hint="eastAsia"/>
          <w:color w:val="333333"/>
          <w:kern w:val="0"/>
          <w:szCs w:val="21"/>
        </w:rPr>
        <w:lastRenderedPageBreak/>
        <w:t xml:space="preserve">有关部门要完善数据采集发布工作机制，加强信息共享，形成投资者合法权益保护的协调沟通机制。强化国际监管合作与交流，实现投资者合法权益的跨境监管和保护。 </w:t>
      </w:r>
    </w:p>
    <w:p w:rsidR="00D62A75" w:rsidRPr="00F05AB3" w:rsidRDefault="00D62A75"/>
    <w:sectPr w:rsidR="00D62A75" w:rsidRPr="00F05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AA" w:rsidRDefault="00796AAA" w:rsidP="00F05AB3">
      <w:r>
        <w:separator/>
      </w:r>
    </w:p>
  </w:endnote>
  <w:endnote w:type="continuationSeparator" w:id="0">
    <w:p w:rsidR="00796AAA" w:rsidRDefault="00796AAA" w:rsidP="00F0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AA" w:rsidRDefault="00796AAA" w:rsidP="00F05AB3">
      <w:r>
        <w:separator/>
      </w:r>
    </w:p>
  </w:footnote>
  <w:footnote w:type="continuationSeparator" w:id="0">
    <w:p w:rsidR="00796AAA" w:rsidRDefault="00796AAA" w:rsidP="00F0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A8"/>
    <w:rsid w:val="00092FA8"/>
    <w:rsid w:val="001960E2"/>
    <w:rsid w:val="00796AAA"/>
    <w:rsid w:val="00D62A75"/>
    <w:rsid w:val="00F0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AB3"/>
    <w:rPr>
      <w:sz w:val="18"/>
      <w:szCs w:val="18"/>
    </w:rPr>
  </w:style>
  <w:style w:type="paragraph" w:styleId="a4">
    <w:name w:val="footer"/>
    <w:basedOn w:val="a"/>
    <w:link w:val="Char0"/>
    <w:uiPriority w:val="99"/>
    <w:unhideWhenUsed/>
    <w:rsid w:val="00F0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F05A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AB3"/>
    <w:rPr>
      <w:sz w:val="18"/>
      <w:szCs w:val="18"/>
    </w:rPr>
  </w:style>
  <w:style w:type="paragraph" w:styleId="a4">
    <w:name w:val="footer"/>
    <w:basedOn w:val="a"/>
    <w:link w:val="Char0"/>
    <w:uiPriority w:val="99"/>
    <w:unhideWhenUsed/>
    <w:rsid w:val="00F0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F05A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7859">
      <w:bodyDiv w:val="1"/>
      <w:marLeft w:val="0"/>
      <w:marRight w:val="0"/>
      <w:marTop w:val="0"/>
      <w:marBottom w:val="0"/>
      <w:divBdr>
        <w:top w:val="none" w:sz="0" w:space="0" w:color="auto"/>
        <w:left w:val="none" w:sz="0" w:space="0" w:color="auto"/>
        <w:bottom w:val="none" w:sz="0" w:space="0" w:color="auto"/>
        <w:right w:val="none" w:sz="0" w:space="0" w:color="auto"/>
      </w:divBdr>
      <w:divsChild>
        <w:div w:id="1754013499">
          <w:marLeft w:val="0"/>
          <w:marRight w:val="0"/>
          <w:marTop w:val="0"/>
          <w:marBottom w:val="0"/>
          <w:divBdr>
            <w:top w:val="none" w:sz="0" w:space="0" w:color="auto"/>
            <w:left w:val="none" w:sz="0" w:space="0" w:color="auto"/>
            <w:bottom w:val="none" w:sz="0" w:space="0" w:color="auto"/>
            <w:right w:val="none" w:sz="0" w:space="0" w:color="auto"/>
          </w:divBdr>
          <w:divsChild>
            <w:div w:id="2103918159">
              <w:marLeft w:val="0"/>
              <w:marRight w:val="0"/>
              <w:marTop w:val="0"/>
              <w:marBottom w:val="0"/>
              <w:divBdr>
                <w:top w:val="none" w:sz="0" w:space="0" w:color="auto"/>
                <w:left w:val="none" w:sz="0" w:space="0" w:color="auto"/>
                <w:bottom w:val="none" w:sz="0" w:space="0" w:color="auto"/>
                <w:right w:val="none" w:sz="0" w:space="0" w:color="auto"/>
              </w:divBdr>
              <w:divsChild>
                <w:div w:id="1213151549">
                  <w:marLeft w:val="105"/>
                  <w:marRight w:val="105"/>
                  <w:marTop w:val="0"/>
                  <w:marBottom w:val="0"/>
                  <w:divBdr>
                    <w:top w:val="none" w:sz="0" w:space="0" w:color="auto"/>
                    <w:left w:val="none" w:sz="0" w:space="0" w:color="auto"/>
                    <w:bottom w:val="none" w:sz="0" w:space="0" w:color="auto"/>
                    <w:right w:val="none" w:sz="0" w:space="0" w:color="auto"/>
                  </w:divBdr>
                  <w:divsChild>
                    <w:div w:id="1632589782">
                      <w:marLeft w:val="0"/>
                      <w:marRight w:val="0"/>
                      <w:marTop w:val="0"/>
                      <w:marBottom w:val="0"/>
                      <w:divBdr>
                        <w:top w:val="none" w:sz="0" w:space="0" w:color="auto"/>
                        <w:left w:val="none" w:sz="0" w:space="0" w:color="auto"/>
                        <w:bottom w:val="none" w:sz="0" w:space="0" w:color="auto"/>
                        <w:right w:val="none" w:sz="0" w:space="0" w:color="auto"/>
                      </w:divBdr>
                      <w:divsChild>
                        <w:div w:id="201481498">
                          <w:marLeft w:val="0"/>
                          <w:marRight w:val="0"/>
                          <w:marTop w:val="0"/>
                          <w:marBottom w:val="0"/>
                          <w:divBdr>
                            <w:top w:val="none" w:sz="0" w:space="0" w:color="auto"/>
                            <w:left w:val="none" w:sz="0" w:space="0" w:color="auto"/>
                            <w:bottom w:val="single" w:sz="12" w:space="11" w:color="CCCCCC"/>
                            <w:right w:val="none" w:sz="0" w:space="0" w:color="auto"/>
                          </w:divBdr>
                        </w:div>
                        <w:div w:id="1337879469">
                          <w:marLeft w:val="0"/>
                          <w:marRight w:val="0"/>
                          <w:marTop w:val="0"/>
                          <w:marBottom w:val="300"/>
                          <w:divBdr>
                            <w:top w:val="none" w:sz="0" w:space="0" w:color="auto"/>
                            <w:left w:val="none" w:sz="0" w:space="0" w:color="auto"/>
                            <w:bottom w:val="none" w:sz="0" w:space="0" w:color="auto"/>
                            <w:right w:val="none" w:sz="0" w:space="0" w:color="auto"/>
                          </w:divBdr>
                        </w:div>
                        <w:div w:id="1709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3562</Characters>
  <Application>Microsoft Office Word</Application>
  <DocSecurity>0</DocSecurity>
  <Lines>29</Lines>
  <Paragraphs>8</Paragraphs>
  <ScaleCrop>false</ScaleCrop>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卢逸林</dc:creator>
  <cp:lastModifiedBy>卢逸林</cp:lastModifiedBy>
  <cp:revision>2</cp:revision>
  <dcterms:created xsi:type="dcterms:W3CDTF">2017-03-17T03:54:00Z</dcterms:created>
  <dcterms:modified xsi:type="dcterms:W3CDTF">2017-03-17T03:54:00Z</dcterms:modified>
</cp:coreProperties>
</file>